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F73330" w:rsidRDefault="00B352B0" w:rsidP="00F7333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F73330" w:rsidRDefault="00B352B0" w:rsidP="00F7333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F73330" w:rsidRDefault="00B352B0" w:rsidP="00F7333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F73330" w:rsidRDefault="00B352B0" w:rsidP="00F7333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73330" w:rsidRPr="00F73330" w:rsidRDefault="00F73330" w:rsidP="00F73330">
      <w:pPr>
        <w:spacing w:line="480" w:lineRule="auto"/>
        <w:jc w:val="center"/>
        <w:rPr>
          <w:rFonts w:ascii="Times New Roman" w:hAnsi="Times New Roman" w:cs="Times New Roman"/>
          <w:b/>
          <w:bCs/>
          <w:color w:val="0D0D0D" w:themeColor="text1" w:themeTint="F2"/>
          <w:sz w:val="24"/>
          <w:szCs w:val="24"/>
        </w:rPr>
      </w:pPr>
      <w:r w:rsidRPr="00F73330">
        <w:rPr>
          <w:rFonts w:ascii="Times New Roman" w:eastAsia="Times New Roman" w:hAnsi="Times New Roman" w:cs="Times New Roman"/>
          <w:color w:val="0D0D0D" w:themeColor="text1" w:themeTint="F2"/>
          <w:sz w:val="24"/>
          <w:szCs w:val="24"/>
        </w:rPr>
        <w:t>Questions</w:t>
      </w:r>
    </w:p>
    <w:p w:rsidR="00F73330" w:rsidRPr="00F73330" w:rsidRDefault="00F73330" w:rsidP="00F73330">
      <w:pPr>
        <w:spacing w:line="480" w:lineRule="auto"/>
        <w:jc w:val="center"/>
        <w:rPr>
          <w:rFonts w:ascii="Times New Roman" w:hAnsi="Times New Roman" w:cs="Times New Roman"/>
          <w:b/>
          <w:bCs/>
          <w:color w:val="0D0D0D" w:themeColor="text1" w:themeTint="F2"/>
          <w:sz w:val="24"/>
          <w:szCs w:val="24"/>
        </w:rPr>
      </w:pPr>
      <w:r w:rsidRPr="00F73330">
        <w:rPr>
          <w:rFonts w:ascii="Times New Roman" w:hAnsi="Times New Roman" w:cs="Times New Roman"/>
          <w:b/>
          <w:bCs/>
          <w:color w:val="0D0D0D" w:themeColor="text1" w:themeTint="F2"/>
          <w:sz w:val="24"/>
          <w:szCs w:val="24"/>
        </w:rPr>
        <w:t>Question 1</w:t>
      </w:r>
    </w:p>
    <w:p w:rsidR="00F73330" w:rsidRPr="00F73330" w:rsidRDefault="00F73330" w:rsidP="00F73330">
      <w:pPr>
        <w:spacing w:line="480" w:lineRule="auto"/>
        <w:ind w:firstLine="720"/>
        <w:jc w:val="both"/>
        <w:rPr>
          <w:rFonts w:ascii="Times New Roman" w:hAnsi="Times New Roman" w:cs="Times New Roman"/>
          <w:color w:val="0D0D0D" w:themeColor="text1" w:themeTint="F2"/>
          <w:sz w:val="24"/>
          <w:szCs w:val="24"/>
        </w:rPr>
      </w:pPr>
      <w:r w:rsidRPr="00F73330">
        <w:rPr>
          <w:rFonts w:ascii="Times New Roman" w:hAnsi="Times New Roman" w:cs="Times New Roman"/>
          <w:color w:val="0D0D0D" w:themeColor="text1" w:themeTint="F2"/>
          <w:sz w:val="24"/>
          <w:szCs w:val="24"/>
        </w:rPr>
        <w:t xml:space="preserve">Alcohol poisoning is a condition where an individual consumes more alcohol than the body can metabolize, causing impairment in essential organs like the liver and other body functions like breathing and transmission of nerve signals to the brain. In nutrition, the term "drink" is used to define the amount of beverage that gives 0.5 fluid ounce of pure alcohol. Once consumed, the body absorbs alcohol directly through the walls of the stomach and small intestines, to form the blood alcohol concentration (BAC) without having to undergo digestion. The rate of absorption is determined by two factors, consumption of fat, protein, and </w:t>
      </w:r>
      <w:r w:rsidR="00D12A76" w:rsidRPr="00F73330">
        <w:rPr>
          <w:rFonts w:ascii="Times New Roman" w:hAnsi="Times New Roman" w:cs="Times New Roman"/>
          <w:color w:val="0D0D0D" w:themeColor="text1" w:themeTint="F2"/>
          <w:sz w:val="24"/>
          <w:szCs w:val="24"/>
        </w:rPr>
        <w:t>fiber</w:t>
      </w:r>
      <w:r w:rsidRPr="00F73330">
        <w:rPr>
          <w:rFonts w:ascii="Times New Roman" w:hAnsi="Times New Roman" w:cs="Times New Roman"/>
          <w:color w:val="0D0D0D" w:themeColor="text1" w:themeTint="F2"/>
          <w:sz w:val="24"/>
          <w:szCs w:val="24"/>
        </w:rPr>
        <w:t>-rich foods before taking alcohol and gender, where the rate of absorption is generally high in women compared to men. Alcohol dehydrogenase (ADH) is an enzyme secreted by the stomach and liver and which oxidizes alcohol in the body. Since a healthy human body can metabolize one drink per hour, consuming more than that results in the excess alcohol getting to the bloodstream where it exposes all body parts and organs to its toxicity.</w:t>
      </w:r>
    </w:p>
    <w:p w:rsidR="00F73330" w:rsidRPr="00F73330" w:rsidRDefault="00F73330" w:rsidP="00F73330">
      <w:pPr>
        <w:spacing w:line="480" w:lineRule="auto"/>
        <w:ind w:firstLine="720"/>
        <w:jc w:val="both"/>
        <w:rPr>
          <w:rFonts w:ascii="Times New Roman" w:eastAsia="Times New Roman" w:hAnsi="Times New Roman" w:cs="Times New Roman"/>
          <w:b/>
          <w:bCs/>
          <w:color w:val="0D0D0D" w:themeColor="text1" w:themeTint="F2"/>
          <w:sz w:val="24"/>
          <w:szCs w:val="24"/>
        </w:rPr>
      </w:pPr>
      <w:r w:rsidRPr="00F73330">
        <w:rPr>
          <w:rFonts w:ascii="Times New Roman" w:hAnsi="Times New Roman" w:cs="Times New Roman"/>
          <w:color w:val="0D0D0D" w:themeColor="text1" w:themeTint="F2"/>
          <w:sz w:val="24"/>
          <w:szCs w:val="24"/>
        </w:rPr>
        <w:t xml:space="preserve">Therefore, the concept of moderate drinking is based on the maximum daily intake of one drink daily for women and double for men. Based on these guidelines, various health benefits can be highlighted. They include improved appetite, lower risk of age-related dementia, and </w:t>
      </w:r>
      <w:r w:rsidRPr="00F73330">
        <w:rPr>
          <w:rFonts w:ascii="Times New Roman" w:hAnsi="Times New Roman" w:cs="Times New Roman"/>
          <w:color w:val="0D0D0D" w:themeColor="text1" w:themeTint="F2"/>
          <w:sz w:val="24"/>
          <w:szCs w:val="24"/>
        </w:rPr>
        <w:lastRenderedPageBreak/>
        <w:t>increasing the levels of “good” cholesterol. Alternatively, the risks of moderate drinking are increased risks of breast cancer, harmful drug-alcohol interactions, and puts individuals at risk for exploitations by strangers as seen in the “Sloppy Spring Breaker" video where many college girls are raped while drunk. Learning about alcohol use disorders is essential since it sheds light on the toxic effects of taking alcohol, provides information about alcohol poisoning, and informs the reader about the health complications associated with alcohol consumption. With such information, an individual can take control of their alcohol intake to realize the benefits and avoid the adverse effects.</w:t>
      </w:r>
    </w:p>
    <w:p w:rsidR="00F73330" w:rsidRPr="00F73330" w:rsidRDefault="00F73330" w:rsidP="00F73330">
      <w:pPr>
        <w:shd w:val="clear" w:color="auto" w:fill="FFFFFF"/>
        <w:spacing w:before="180" w:line="480" w:lineRule="auto"/>
        <w:ind w:firstLine="720"/>
        <w:jc w:val="both"/>
        <w:rPr>
          <w:rFonts w:ascii="Times New Roman" w:eastAsia="Times New Roman" w:hAnsi="Times New Roman" w:cs="Times New Roman"/>
          <w:b/>
          <w:bCs/>
          <w:color w:val="0D0D0D" w:themeColor="text1" w:themeTint="F2"/>
          <w:sz w:val="24"/>
          <w:szCs w:val="24"/>
        </w:rPr>
      </w:pPr>
      <w:r w:rsidRPr="00F73330">
        <w:rPr>
          <w:rFonts w:ascii="Times New Roman" w:eastAsia="Times New Roman" w:hAnsi="Times New Roman" w:cs="Times New Roman"/>
          <w:color w:val="0D0D0D" w:themeColor="text1" w:themeTint="F2"/>
          <w:sz w:val="24"/>
          <w:szCs w:val="24"/>
        </w:rPr>
        <w:t xml:space="preserve">Although evidence on research that focuses on determining the possible health benefits and risks of alcohol consumption is still scanty, various benefits and risks have been identified. On one side, the benefits include reducing the likelihood of individuals developing heart-related diseases like ischemic stroke and any other related diseases like type 2 diabetes, significantly reducing stress and anxiety, and reducing the abnormal formation of blood clots in blood vessels (Centres for Disease Control and Prevention n.p.). On the other hand, moderate drinking has its downside and related risks which include the varied response to alcohol-based on age, use of medications, and health status. Other risks include the development of haemorrhagic stroke, which is a health condition characterized by bleeding in the brain and obesity, owing to the ability of moderate drinking to increase appetite. </w:t>
      </w:r>
    </w:p>
    <w:p w:rsidR="00F73330" w:rsidRPr="00F73330" w:rsidRDefault="00F73330" w:rsidP="00F73330">
      <w:pPr>
        <w:shd w:val="clear" w:color="auto" w:fill="FFFFFF"/>
        <w:spacing w:before="180" w:line="480" w:lineRule="auto"/>
        <w:ind w:firstLine="720"/>
        <w:jc w:val="both"/>
        <w:rPr>
          <w:rFonts w:ascii="Times New Roman" w:eastAsia="Times New Roman" w:hAnsi="Times New Roman" w:cs="Times New Roman"/>
          <w:b/>
          <w:bCs/>
          <w:color w:val="0D0D0D" w:themeColor="text1" w:themeTint="F2"/>
          <w:sz w:val="24"/>
          <w:szCs w:val="24"/>
        </w:rPr>
      </w:pPr>
      <w:r w:rsidRPr="00F73330">
        <w:rPr>
          <w:rFonts w:ascii="Times New Roman" w:eastAsia="Times New Roman" w:hAnsi="Times New Roman" w:cs="Times New Roman"/>
          <w:color w:val="0D0D0D" w:themeColor="text1" w:themeTint="F2"/>
          <w:sz w:val="24"/>
          <w:szCs w:val="24"/>
        </w:rPr>
        <w:t>Alcohol is classified as a drug based on the narcotic effects that it has on individuals. As a toxin, alcohol has the potential to act on and damage cell membranes and other cell structures, ultimately causing damage to organs such as the liver and the brain (</w:t>
      </w:r>
      <w:r w:rsidRPr="00F73330">
        <w:rPr>
          <w:rFonts w:ascii="Times New Roman" w:hAnsi="Times New Roman" w:cs="Times New Roman"/>
          <w:color w:val="0D0D0D" w:themeColor="text1" w:themeTint="F2"/>
          <w:sz w:val="24"/>
          <w:szCs w:val="24"/>
        </w:rPr>
        <w:t>Rehm, 135</w:t>
      </w:r>
      <w:r w:rsidRPr="00F73330">
        <w:rPr>
          <w:rFonts w:ascii="Times New Roman" w:eastAsia="Times New Roman" w:hAnsi="Times New Roman" w:cs="Times New Roman"/>
          <w:color w:val="0D0D0D" w:themeColor="text1" w:themeTint="F2"/>
          <w:sz w:val="24"/>
          <w:szCs w:val="24"/>
        </w:rPr>
        <w:t xml:space="preserve">). In a nutshell, the toxic effects of alcohol use include reduced brain function, where alcohol affects normal brain functioning, impairing the ability to make sound </w:t>
      </w:r>
      <w:r w:rsidR="00D12A76" w:rsidRPr="00F73330">
        <w:rPr>
          <w:rFonts w:ascii="Times New Roman" w:eastAsia="Times New Roman" w:hAnsi="Times New Roman" w:cs="Times New Roman"/>
          <w:color w:val="0D0D0D" w:themeColor="text1" w:themeTint="F2"/>
          <w:sz w:val="24"/>
          <w:szCs w:val="24"/>
        </w:rPr>
        <w:t>judgments</w:t>
      </w:r>
      <w:r w:rsidRPr="00F73330">
        <w:rPr>
          <w:rFonts w:ascii="Times New Roman" w:eastAsia="Times New Roman" w:hAnsi="Times New Roman" w:cs="Times New Roman"/>
          <w:color w:val="0D0D0D" w:themeColor="text1" w:themeTint="F2"/>
          <w:sz w:val="24"/>
          <w:szCs w:val="24"/>
        </w:rPr>
        <w:t xml:space="preserve"> and even altering speech. </w:t>
      </w:r>
      <w:r w:rsidRPr="00F73330">
        <w:rPr>
          <w:rFonts w:ascii="Times New Roman" w:eastAsia="Times New Roman" w:hAnsi="Times New Roman" w:cs="Times New Roman"/>
          <w:color w:val="0D0D0D" w:themeColor="text1" w:themeTint="F2"/>
          <w:sz w:val="24"/>
          <w:szCs w:val="24"/>
        </w:rPr>
        <w:lastRenderedPageBreak/>
        <w:t>Another result is affecting the normal functioning of the liver. Since the liver is the main organ for alcohol breakdown, excessive consumption of alcohol overwhelms the liver, leading to damage on the liver cells. Finally, alcohol poses a significant danger for the occurrence of traumatic injury. Effects such as motor vehicle accidents, physical and sexual assaults are heavily associated with alcoholism and poor decision-making which characterizes alcoholism (</w:t>
      </w:r>
      <w:r w:rsidRPr="00F73330">
        <w:rPr>
          <w:rFonts w:ascii="Times New Roman" w:hAnsi="Times New Roman" w:cs="Times New Roman"/>
          <w:color w:val="0D0D0D" w:themeColor="text1" w:themeTint="F2"/>
          <w:sz w:val="24"/>
          <w:szCs w:val="24"/>
        </w:rPr>
        <w:t>Rehm, 135</w:t>
      </w:r>
      <w:r w:rsidRPr="00F73330">
        <w:rPr>
          <w:rFonts w:ascii="Times New Roman" w:eastAsia="Times New Roman" w:hAnsi="Times New Roman" w:cs="Times New Roman"/>
          <w:color w:val="0D0D0D" w:themeColor="text1" w:themeTint="F2"/>
          <w:sz w:val="24"/>
          <w:szCs w:val="24"/>
        </w:rPr>
        <w:t xml:space="preserve">).  </w:t>
      </w:r>
    </w:p>
    <w:p w:rsidR="00F73330" w:rsidRPr="00F73330" w:rsidRDefault="00F73330" w:rsidP="00F73330">
      <w:pPr>
        <w:shd w:val="clear" w:color="auto" w:fill="FFFFFF"/>
        <w:spacing w:before="180" w:line="480" w:lineRule="auto"/>
        <w:ind w:firstLine="720"/>
        <w:jc w:val="both"/>
        <w:rPr>
          <w:rFonts w:ascii="Times New Roman" w:eastAsia="Times New Roman" w:hAnsi="Times New Roman" w:cs="Times New Roman"/>
          <w:b/>
          <w:bCs/>
          <w:color w:val="0D0D0D" w:themeColor="text1" w:themeTint="F2"/>
          <w:sz w:val="24"/>
          <w:szCs w:val="24"/>
        </w:rPr>
      </w:pPr>
      <w:r w:rsidRPr="00F73330">
        <w:rPr>
          <w:rFonts w:ascii="Times New Roman" w:eastAsia="Times New Roman" w:hAnsi="Times New Roman" w:cs="Times New Roman"/>
          <w:color w:val="0D0D0D" w:themeColor="text1" w:themeTint="F2"/>
          <w:sz w:val="24"/>
          <w:szCs w:val="24"/>
        </w:rPr>
        <w:t>On the college drinkingprevention.gov website, the main focus is on parental involvement in dealing with AUD. Resources provided in the web page include web links to the NIAAA web page that cover parental discussion on the consequences of drinking and the College Alcohol Intervention Matrix, which is also available on the NIAAA web page. For a long time, one of my childhood friends had been struggling with AUD, a condition that he adopted from his high school days. I tried using various methods to help him overcome the condition and came to a realization that the best method for de</w:t>
      </w:r>
      <w:r w:rsidR="00D12A76">
        <w:rPr>
          <w:rFonts w:ascii="Times New Roman" w:eastAsia="Times New Roman" w:hAnsi="Times New Roman" w:cs="Times New Roman"/>
          <w:color w:val="0D0D0D" w:themeColor="text1" w:themeTint="F2"/>
          <w:sz w:val="24"/>
          <w:szCs w:val="24"/>
        </w:rPr>
        <w:t xml:space="preserve">aling with alcohol use disorder </w:t>
      </w:r>
      <w:r w:rsidRPr="00F73330">
        <w:rPr>
          <w:rFonts w:ascii="Times New Roman" w:eastAsia="Times New Roman" w:hAnsi="Times New Roman" w:cs="Times New Roman"/>
          <w:color w:val="0D0D0D" w:themeColor="text1" w:themeTint="F2"/>
          <w:sz w:val="24"/>
          <w:szCs w:val="24"/>
        </w:rPr>
        <w:t>is to speak to a professional. However, like my friend, not all alcohol addicts readily accept this flaw. Therefore, another method that could be employed in collaboration with the first is involving other friends to help convince the individual to seek professional help. It took the intervention of other mutual friends to convince my friend to take up treatment. Group intervention has been identified as an effective method of encouraging AUD victims to deal with their condition (</w:t>
      </w:r>
      <w:r w:rsidRPr="00F73330">
        <w:rPr>
          <w:rFonts w:ascii="Times New Roman" w:hAnsi="Times New Roman" w:cs="Times New Roman"/>
          <w:color w:val="0D0D0D" w:themeColor="text1" w:themeTint="F2"/>
          <w:sz w:val="24"/>
          <w:szCs w:val="24"/>
        </w:rPr>
        <w:t>Yamashita &amp; Yoshioka 385)</w:t>
      </w:r>
      <w:r w:rsidRPr="00F73330">
        <w:rPr>
          <w:rFonts w:ascii="Times New Roman" w:eastAsia="Times New Roman" w:hAnsi="Times New Roman" w:cs="Times New Roman"/>
          <w:color w:val="0D0D0D" w:themeColor="text1" w:themeTint="F2"/>
          <w:sz w:val="24"/>
          <w:szCs w:val="24"/>
        </w:rPr>
        <w:t xml:space="preserve">. </w:t>
      </w:r>
    </w:p>
    <w:p w:rsidR="00B352B0" w:rsidRDefault="00B352B0" w:rsidP="00F73330">
      <w:pPr>
        <w:spacing w:line="480" w:lineRule="auto"/>
        <w:jc w:val="center"/>
        <w:rPr>
          <w:rFonts w:ascii="Times New Roman" w:hAnsi="Times New Roman" w:cs="Times New Roman"/>
          <w:b/>
          <w:bCs/>
          <w:color w:val="0D0D0D" w:themeColor="text1" w:themeTint="F2"/>
          <w:sz w:val="24"/>
          <w:szCs w:val="24"/>
        </w:rPr>
      </w:pPr>
    </w:p>
    <w:p w:rsidR="00B352B0" w:rsidRDefault="00B352B0" w:rsidP="00F73330">
      <w:pPr>
        <w:spacing w:line="480" w:lineRule="auto"/>
        <w:jc w:val="center"/>
        <w:rPr>
          <w:rFonts w:ascii="Times New Roman" w:hAnsi="Times New Roman" w:cs="Times New Roman"/>
          <w:b/>
          <w:bCs/>
          <w:color w:val="0D0D0D" w:themeColor="text1" w:themeTint="F2"/>
          <w:sz w:val="24"/>
          <w:szCs w:val="24"/>
        </w:rPr>
      </w:pPr>
    </w:p>
    <w:p w:rsidR="00D12A76" w:rsidRDefault="00D12A76" w:rsidP="00F73330">
      <w:pPr>
        <w:spacing w:line="480" w:lineRule="auto"/>
        <w:jc w:val="center"/>
        <w:rPr>
          <w:rFonts w:ascii="Times New Roman" w:hAnsi="Times New Roman" w:cs="Times New Roman"/>
          <w:b/>
          <w:bCs/>
          <w:color w:val="0D0D0D" w:themeColor="text1" w:themeTint="F2"/>
          <w:sz w:val="24"/>
          <w:szCs w:val="24"/>
        </w:rPr>
      </w:pPr>
    </w:p>
    <w:p w:rsidR="00F73330" w:rsidRPr="00F73330" w:rsidRDefault="00F73330" w:rsidP="00F73330">
      <w:pPr>
        <w:spacing w:line="480" w:lineRule="auto"/>
        <w:jc w:val="center"/>
        <w:rPr>
          <w:rFonts w:ascii="Times New Roman" w:hAnsi="Times New Roman" w:cs="Times New Roman"/>
          <w:b/>
          <w:bCs/>
          <w:color w:val="0D0D0D" w:themeColor="text1" w:themeTint="F2"/>
          <w:sz w:val="24"/>
          <w:szCs w:val="24"/>
        </w:rPr>
      </w:pPr>
      <w:r w:rsidRPr="00F73330">
        <w:rPr>
          <w:rFonts w:ascii="Times New Roman" w:hAnsi="Times New Roman" w:cs="Times New Roman"/>
          <w:b/>
          <w:bCs/>
          <w:color w:val="0D0D0D" w:themeColor="text1" w:themeTint="F2"/>
          <w:sz w:val="24"/>
          <w:szCs w:val="24"/>
        </w:rPr>
        <w:lastRenderedPageBreak/>
        <w:t>Question 2</w:t>
      </w:r>
    </w:p>
    <w:p w:rsidR="00F73330" w:rsidRPr="00F73330" w:rsidRDefault="00F73330" w:rsidP="00F73330">
      <w:pPr>
        <w:spacing w:line="480" w:lineRule="auto"/>
        <w:ind w:firstLine="720"/>
        <w:jc w:val="both"/>
        <w:rPr>
          <w:rFonts w:ascii="Times New Roman" w:eastAsia="Times New Roman" w:hAnsi="Times New Roman" w:cs="Times New Roman"/>
          <w:color w:val="0D0D0D" w:themeColor="text1" w:themeTint="F2"/>
          <w:sz w:val="24"/>
          <w:szCs w:val="24"/>
          <w:shd w:val="clear" w:color="auto" w:fill="FFFFFF"/>
        </w:rPr>
      </w:pPr>
      <w:r w:rsidRPr="00F73330">
        <w:rPr>
          <w:rFonts w:ascii="Times New Roman" w:eastAsia="Times New Roman" w:hAnsi="Times New Roman" w:cs="Times New Roman"/>
          <w:color w:val="0D0D0D" w:themeColor="text1" w:themeTint="F2"/>
          <w:sz w:val="24"/>
          <w:szCs w:val="24"/>
        </w:rPr>
        <w:t>On 15</w:t>
      </w:r>
      <w:r w:rsidRPr="00F73330">
        <w:rPr>
          <w:rFonts w:ascii="Times New Roman" w:eastAsia="Times New Roman" w:hAnsi="Times New Roman" w:cs="Times New Roman"/>
          <w:color w:val="0D0D0D" w:themeColor="text1" w:themeTint="F2"/>
          <w:sz w:val="24"/>
          <w:szCs w:val="24"/>
          <w:vertAlign w:val="superscript"/>
        </w:rPr>
        <w:t>th</w:t>
      </w:r>
      <w:r w:rsidRPr="00F73330">
        <w:rPr>
          <w:rFonts w:ascii="Times New Roman" w:eastAsia="Times New Roman" w:hAnsi="Times New Roman" w:cs="Times New Roman"/>
          <w:color w:val="0D0D0D" w:themeColor="text1" w:themeTint="F2"/>
          <w:sz w:val="24"/>
          <w:szCs w:val="24"/>
        </w:rPr>
        <w:t xml:space="preserve"> June 2020, I had 1 cup whole milk (98 mg) with 43 g Quakers Instant oatmeal (260 mg) and two medium bananas 2 mg) for breakfast. During the day, I had chicken Mediterranean salad (406 mg). In the evening, my dinner comprised of six pieces Rosina meatballs (530 mg) and 1 cup cooked spaghetti (1 mg). B</w:t>
      </w:r>
      <w:r w:rsidR="00D12A76">
        <w:rPr>
          <w:rFonts w:ascii="Times New Roman" w:eastAsia="Times New Roman" w:hAnsi="Times New Roman" w:cs="Times New Roman"/>
          <w:color w:val="0D0D0D" w:themeColor="text1" w:themeTint="F2"/>
          <w:sz w:val="24"/>
          <w:szCs w:val="24"/>
        </w:rPr>
        <w:t xml:space="preserve">efore going to be, I had a 40g </w:t>
      </w:r>
      <w:r w:rsidRPr="00F73330">
        <w:rPr>
          <w:rFonts w:ascii="Times New Roman" w:eastAsia="Times New Roman" w:hAnsi="Times New Roman" w:cs="Times New Roman"/>
          <w:color w:val="0D0D0D" w:themeColor="text1" w:themeTint="F2"/>
          <w:sz w:val="24"/>
          <w:szCs w:val="24"/>
        </w:rPr>
        <w:t xml:space="preserve"> (1 serving, 100 g) Turkish Naturelle yoghurt (0 mg). The total sodium consumption for this day was 1297 mg.</w:t>
      </w:r>
    </w:p>
    <w:p w:rsidR="00F73330" w:rsidRDefault="00F73330" w:rsidP="00F73330">
      <w:pPr>
        <w:spacing w:line="480" w:lineRule="auto"/>
        <w:ind w:firstLine="720"/>
        <w:jc w:val="both"/>
        <w:rPr>
          <w:rFonts w:ascii="Times New Roman" w:hAnsi="Times New Roman" w:cs="Times New Roman"/>
          <w:sz w:val="24"/>
          <w:szCs w:val="24"/>
        </w:rPr>
      </w:pPr>
      <w:r w:rsidRPr="00F73330">
        <w:rPr>
          <w:rFonts w:ascii="Times New Roman" w:eastAsia="Times New Roman" w:hAnsi="Times New Roman" w:cs="Times New Roman"/>
          <w:color w:val="0D0D0D" w:themeColor="text1" w:themeTint="F2"/>
          <w:sz w:val="24"/>
          <w:szCs w:val="24"/>
          <w:shd w:val="clear" w:color="auto" w:fill="FFFFFF"/>
        </w:rPr>
        <w:t xml:space="preserve">According to the </w:t>
      </w:r>
      <w:r w:rsidRPr="00F73330">
        <w:rPr>
          <w:rFonts w:ascii="Times New Roman" w:hAnsi="Times New Roman" w:cs="Times New Roman"/>
          <w:sz w:val="24"/>
          <w:szCs w:val="24"/>
        </w:rPr>
        <w:t xml:space="preserve">Dietary Guidelines for Americans (58), the average limit for daily consumption of sodium should be below 2300 mg to maintain good health. Based on this limitation, my daily intake is well below the threshold; therefore, I am not at risk of developing any health complications associated with sodium toxicity. In this day, I was surprised to learn that </w:t>
      </w:r>
      <w:r w:rsidRPr="00F73330">
        <w:rPr>
          <w:rFonts w:ascii="Times New Roman" w:eastAsia="Times New Roman" w:hAnsi="Times New Roman" w:cs="Times New Roman"/>
          <w:color w:val="0D0D0D" w:themeColor="text1" w:themeTint="F2"/>
          <w:sz w:val="24"/>
          <w:szCs w:val="24"/>
        </w:rPr>
        <w:t xml:space="preserve">yoghurt does not contribute any </w:t>
      </w:r>
      <w:r w:rsidRPr="00F73330">
        <w:rPr>
          <w:rFonts w:ascii="Times New Roman" w:hAnsi="Times New Roman" w:cs="Times New Roman"/>
          <w:sz w:val="24"/>
          <w:szCs w:val="24"/>
        </w:rPr>
        <w:t xml:space="preserve">amount of sodium in my diet. I am a lover of </w:t>
      </w:r>
      <w:r w:rsidRPr="00F73330">
        <w:rPr>
          <w:rFonts w:ascii="Times New Roman" w:eastAsia="Times New Roman" w:hAnsi="Times New Roman" w:cs="Times New Roman"/>
          <w:color w:val="0D0D0D" w:themeColor="text1" w:themeTint="F2"/>
          <w:sz w:val="24"/>
          <w:szCs w:val="24"/>
        </w:rPr>
        <w:t>yoghurt and I never thought it was lacking such a fundamental nutrient.</w:t>
      </w:r>
    </w:p>
    <w:p w:rsidR="00F73330" w:rsidRDefault="00F73330" w:rsidP="00F73330">
      <w:pPr>
        <w:spacing w:line="480" w:lineRule="auto"/>
        <w:ind w:firstLine="720"/>
        <w:jc w:val="both"/>
        <w:rPr>
          <w:rFonts w:ascii="Times New Roman" w:hAnsi="Times New Roman" w:cs="Times New Roman"/>
          <w:sz w:val="24"/>
          <w:szCs w:val="24"/>
        </w:rPr>
      </w:pPr>
    </w:p>
    <w:p w:rsidR="00F73330" w:rsidRDefault="00F73330" w:rsidP="00F73330">
      <w:pPr>
        <w:spacing w:line="480" w:lineRule="auto"/>
        <w:ind w:firstLine="720"/>
        <w:jc w:val="both"/>
        <w:rPr>
          <w:rFonts w:ascii="Times New Roman" w:hAnsi="Times New Roman" w:cs="Times New Roman"/>
          <w:sz w:val="24"/>
          <w:szCs w:val="24"/>
        </w:rPr>
      </w:pPr>
    </w:p>
    <w:p w:rsidR="00F73330" w:rsidRDefault="00F73330" w:rsidP="00F73330">
      <w:pPr>
        <w:spacing w:line="480" w:lineRule="auto"/>
        <w:ind w:firstLine="720"/>
        <w:jc w:val="both"/>
        <w:rPr>
          <w:rFonts w:ascii="Times New Roman" w:hAnsi="Times New Roman" w:cs="Times New Roman"/>
          <w:sz w:val="24"/>
          <w:szCs w:val="24"/>
        </w:rPr>
      </w:pPr>
    </w:p>
    <w:p w:rsidR="00F73330" w:rsidRDefault="00F73330" w:rsidP="00F73330">
      <w:pPr>
        <w:spacing w:line="480" w:lineRule="auto"/>
        <w:ind w:firstLine="720"/>
        <w:jc w:val="both"/>
        <w:rPr>
          <w:rFonts w:ascii="Times New Roman" w:hAnsi="Times New Roman" w:cs="Times New Roman"/>
          <w:sz w:val="24"/>
          <w:szCs w:val="24"/>
        </w:rPr>
      </w:pPr>
    </w:p>
    <w:p w:rsidR="00F73330" w:rsidRDefault="00F73330" w:rsidP="00F73330">
      <w:pPr>
        <w:spacing w:line="480" w:lineRule="auto"/>
        <w:ind w:firstLine="720"/>
        <w:jc w:val="both"/>
        <w:rPr>
          <w:rFonts w:ascii="Times New Roman" w:hAnsi="Times New Roman" w:cs="Times New Roman"/>
          <w:sz w:val="24"/>
          <w:szCs w:val="24"/>
        </w:rPr>
      </w:pPr>
    </w:p>
    <w:p w:rsidR="00F73330" w:rsidRDefault="00F73330" w:rsidP="00F73330">
      <w:pPr>
        <w:spacing w:line="480" w:lineRule="auto"/>
        <w:ind w:firstLine="720"/>
        <w:jc w:val="both"/>
        <w:rPr>
          <w:rFonts w:ascii="Times New Roman" w:hAnsi="Times New Roman" w:cs="Times New Roman"/>
          <w:sz w:val="24"/>
          <w:szCs w:val="24"/>
        </w:rPr>
      </w:pPr>
    </w:p>
    <w:p w:rsidR="00F73330" w:rsidRPr="00F73330" w:rsidRDefault="00F73330" w:rsidP="00F73330">
      <w:pPr>
        <w:spacing w:line="480" w:lineRule="auto"/>
        <w:ind w:firstLine="720"/>
        <w:jc w:val="both"/>
        <w:rPr>
          <w:rFonts w:ascii="Times New Roman" w:eastAsia="Times New Roman" w:hAnsi="Times New Roman" w:cs="Times New Roman"/>
          <w:color w:val="0D0D0D" w:themeColor="text1" w:themeTint="F2"/>
          <w:sz w:val="24"/>
          <w:szCs w:val="24"/>
        </w:rPr>
      </w:pPr>
    </w:p>
    <w:p w:rsidR="00526983" w:rsidRDefault="00F73330" w:rsidP="00F733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73330" w:rsidRDefault="00F73330" w:rsidP="00F73330">
      <w:pPr>
        <w:spacing w:line="480" w:lineRule="auto"/>
        <w:ind w:left="720" w:hanging="720"/>
        <w:jc w:val="both"/>
        <w:rPr>
          <w:rFonts w:ascii="Times New Roman" w:hAnsi="Times New Roman" w:cs="Times New Roman"/>
          <w:sz w:val="24"/>
          <w:szCs w:val="24"/>
        </w:rPr>
      </w:pPr>
      <w:r w:rsidRPr="00F73330">
        <w:rPr>
          <w:rFonts w:ascii="Times New Roman" w:hAnsi="Times New Roman" w:cs="Times New Roman"/>
          <w:sz w:val="24"/>
          <w:szCs w:val="24"/>
        </w:rPr>
        <w:t>Centers for Disease Control and Prevention. "Alcohol use and your health." Fact sheet. Available at: http://www. cdc. gov/alcohol/fact-sheets/alcohol-use. htm. Accessed September 8 (2014).</w:t>
      </w:r>
    </w:p>
    <w:p w:rsidR="00F73330" w:rsidRDefault="00F73330" w:rsidP="00F73330">
      <w:pPr>
        <w:spacing w:line="480" w:lineRule="auto"/>
        <w:ind w:left="720" w:hanging="720"/>
        <w:jc w:val="both"/>
        <w:rPr>
          <w:rFonts w:ascii="Times New Roman" w:hAnsi="Times New Roman" w:cs="Times New Roman"/>
          <w:sz w:val="24"/>
          <w:szCs w:val="24"/>
        </w:rPr>
      </w:pPr>
      <w:r w:rsidRPr="00F73330">
        <w:rPr>
          <w:rFonts w:ascii="Times New Roman" w:hAnsi="Times New Roman" w:cs="Times New Roman"/>
          <w:sz w:val="24"/>
          <w:szCs w:val="24"/>
        </w:rPr>
        <w:t>Dietary Guidelines Advisory Committee. Dietary guidelines for Americans 2015-2020. Government Printing Office, 2015.</w:t>
      </w:r>
    </w:p>
    <w:p w:rsidR="00F73330" w:rsidRDefault="00F73330" w:rsidP="00F73330">
      <w:pPr>
        <w:spacing w:line="480" w:lineRule="auto"/>
        <w:ind w:left="720" w:hanging="720"/>
        <w:jc w:val="both"/>
        <w:rPr>
          <w:rFonts w:ascii="Times New Roman" w:hAnsi="Times New Roman" w:cs="Times New Roman"/>
          <w:sz w:val="24"/>
          <w:szCs w:val="24"/>
        </w:rPr>
      </w:pPr>
      <w:r w:rsidRPr="00F73330">
        <w:rPr>
          <w:rFonts w:ascii="Times New Roman" w:hAnsi="Times New Roman" w:cs="Times New Roman"/>
          <w:sz w:val="24"/>
          <w:szCs w:val="24"/>
        </w:rPr>
        <w:t>Rehm, Jürgen. "The risks associated with alcohol use and alcoholism." Alcohol Research &amp; Health 34.2 (2011): 135.</w:t>
      </w:r>
    </w:p>
    <w:p w:rsidR="00F73330" w:rsidRPr="00F73330" w:rsidRDefault="00F73330" w:rsidP="00F73330">
      <w:pPr>
        <w:spacing w:line="480" w:lineRule="auto"/>
        <w:ind w:left="720" w:hanging="720"/>
        <w:jc w:val="both"/>
        <w:rPr>
          <w:rFonts w:ascii="Times New Roman" w:hAnsi="Times New Roman" w:cs="Times New Roman"/>
          <w:sz w:val="24"/>
          <w:szCs w:val="24"/>
        </w:rPr>
      </w:pPr>
      <w:r w:rsidRPr="00F73330">
        <w:rPr>
          <w:rFonts w:ascii="Times New Roman" w:hAnsi="Times New Roman" w:cs="Times New Roman"/>
          <w:sz w:val="24"/>
          <w:szCs w:val="24"/>
        </w:rPr>
        <w:t>Yamashita, Ayako, and Shin-ichi Yoshioka. "Relapse Risks in Patients With Alcohol Use Disorders." Neuroscience of Alcohol. Academic Press, 2019. 383-390.</w:t>
      </w:r>
    </w:p>
    <w:sectPr w:rsidR="00F73330" w:rsidRPr="00F73330"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F1F" w:rsidRDefault="00FB7F1F">
      <w:pPr>
        <w:spacing w:after="0" w:line="240" w:lineRule="auto"/>
      </w:pPr>
      <w:r>
        <w:separator/>
      </w:r>
    </w:p>
  </w:endnote>
  <w:endnote w:type="continuationSeparator" w:id="1">
    <w:p w:rsidR="00FB7F1F" w:rsidRDefault="00FB7F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F1F" w:rsidRDefault="00FB7F1F">
      <w:pPr>
        <w:spacing w:after="0" w:line="240" w:lineRule="auto"/>
      </w:pPr>
      <w:r>
        <w:separator/>
      </w:r>
    </w:p>
  </w:footnote>
  <w:footnote w:type="continuationSeparator" w:id="1">
    <w:p w:rsidR="00FB7F1F" w:rsidRDefault="00FB7F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B352B0"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63399B"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63399B" w:rsidRPr="000A0D79">
      <w:rPr>
        <w:rFonts w:ascii="Times New Roman" w:hAnsi="Times New Roman" w:cs="Times New Roman"/>
        <w:sz w:val="24"/>
        <w:szCs w:val="24"/>
      </w:rPr>
      <w:fldChar w:fldCharType="separate"/>
    </w:r>
    <w:r w:rsidR="00D12A76">
      <w:rPr>
        <w:rFonts w:ascii="Times New Roman" w:hAnsi="Times New Roman" w:cs="Times New Roman"/>
        <w:noProof/>
        <w:sz w:val="24"/>
        <w:szCs w:val="24"/>
      </w:rPr>
      <w:t>4</w:t>
    </w:r>
    <w:r w:rsidR="0063399B"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369"/>
    <w:rsid w:val="00067F9C"/>
    <w:rsid w:val="000A0D79"/>
    <w:rsid w:val="000C4E65"/>
    <w:rsid w:val="0010719E"/>
    <w:rsid w:val="00116EC8"/>
    <w:rsid w:val="001919A8"/>
    <w:rsid w:val="002221C4"/>
    <w:rsid w:val="002B0A09"/>
    <w:rsid w:val="0033352A"/>
    <w:rsid w:val="00353D60"/>
    <w:rsid w:val="003C1D61"/>
    <w:rsid w:val="003D637B"/>
    <w:rsid w:val="003E18C8"/>
    <w:rsid w:val="00421EEB"/>
    <w:rsid w:val="004720BC"/>
    <w:rsid w:val="004C779B"/>
    <w:rsid w:val="00526983"/>
    <w:rsid w:val="00547704"/>
    <w:rsid w:val="005D526D"/>
    <w:rsid w:val="00614EF9"/>
    <w:rsid w:val="0063399B"/>
    <w:rsid w:val="006B0982"/>
    <w:rsid w:val="006F1745"/>
    <w:rsid w:val="007022EA"/>
    <w:rsid w:val="00734F40"/>
    <w:rsid w:val="00790EDB"/>
    <w:rsid w:val="007926F2"/>
    <w:rsid w:val="007938E0"/>
    <w:rsid w:val="007C05AC"/>
    <w:rsid w:val="007E0A18"/>
    <w:rsid w:val="00827D15"/>
    <w:rsid w:val="00863EEF"/>
    <w:rsid w:val="00864D06"/>
    <w:rsid w:val="008C60AF"/>
    <w:rsid w:val="008D10B9"/>
    <w:rsid w:val="008E7B23"/>
    <w:rsid w:val="008F1505"/>
    <w:rsid w:val="00911A14"/>
    <w:rsid w:val="00952A58"/>
    <w:rsid w:val="009A17F0"/>
    <w:rsid w:val="009F319F"/>
    <w:rsid w:val="00A57AEB"/>
    <w:rsid w:val="00AC5D82"/>
    <w:rsid w:val="00B1670F"/>
    <w:rsid w:val="00B352B0"/>
    <w:rsid w:val="00B3729B"/>
    <w:rsid w:val="00B6257C"/>
    <w:rsid w:val="00BA1D68"/>
    <w:rsid w:val="00BE1112"/>
    <w:rsid w:val="00BE7BA7"/>
    <w:rsid w:val="00C324F0"/>
    <w:rsid w:val="00C547CE"/>
    <w:rsid w:val="00C70D46"/>
    <w:rsid w:val="00CF00F5"/>
    <w:rsid w:val="00CF3D36"/>
    <w:rsid w:val="00D12A76"/>
    <w:rsid w:val="00D364C9"/>
    <w:rsid w:val="00D71A0E"/>
    <w:rsid w:val="00DC5DDC"/>
    <w:rsid w:val="00DD1B0C"/>
    <w:rsid w:val="00E071B2"/>
    <w:rsid w:val="00E11CA3"/>
    <w:rsid w:val="00F07D54"/>
    <w:rsid w:val="00F463A6"/>
    <w:rsid w:val="00F72428"/>
    <w:rsid w:val="00F73330"/>
    <w:rsid w:val="00FB1D4E"/>
    <w:rsid w:val="00FB7F1F"/>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F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421EEB"/>
    <w:rPr>
      <w:color w:val="0000FF" w:themeColor="hyperlink"/>
      <w:u w:val="single"/>
    </w:rPr>
  </w:style>
  <w:style w:type="character" w:customStyle="1" w:styleId="UnresolvedMention">
    <w:name w:val="Unresolved Mention"/>
    <w:basedOn w:val="DefaultParagraphFont"/>
    <w:uiPriority w:val="99"/>
    <w:semiHidden/>
    <w:unhideWhenUsed/>
    <w:rsid w:val="00421E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705426">
      <w:bodyDiv w:val="1"/>
      <w:marLeft w:val="0"/>
      <w:marRight w:val="0"/>
      <w:marTop w:val="0"/>
      <w:marBottom w:val="0"/>
      <w:divBdr>
        <w:top w:val="none" w:sz="0" w:space="0" w:color="auto"/>
        <w:left w:val="none" w:sz="0" w:space="0" w:color="auto"/>
        <w:bottom w:val="none" w:sz="0" w:space="0" w:color="auto"/>
        <w:right w:val="none" w:sz="0" w:space="0" w:color="auto"/>
      </w:divBdr>
    </w:div>
    <w:div w:id="51546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2020-06-17T10:51:00Z</dcterms:created>
  <dcterms:modified xsi:type="dcterms:W3CDTF">2020-06-17T10:51:00Z</dcterms:modified>
</cp:coreProperties>
</file>